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="008F147B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452101" w:rsidRPr="001A0624" w:rsidRDefault="00452101" w:rsidP="00452101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/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="008F147B">
        <w:rPr>
          <w:rFonts w:ascii="Times New Roman" w:eastAsia="Calibri" w:hAnsi="Times New Roman" w:cs="Times New Roman"/>
          <w:i/>
          <w:sz w:val="22"/>
          <w:szCs w:val="22"/>
        </w:rPr>
        <w:t>територіального органу /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бюджетної установи)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A0624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</w:t>
      </w:r>
      <w:r w:rsidRPr="001A0624">
        <w:rPr>
          <w:rFonts w:ascii="Times New Roman" w:eastAsia="Calibri" w:hAnsi="Times New Roman" w:cs="Times New Roman"/>
          <w:i/>
          <w:sz w:val="22"/>
          <w:szCs w:val="22"/>
          <w:lang w:val="en-US"/>
        </w:rPr>
        <w:t xml:space="preserve"> 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(ініціали, прізвище)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1A0624" w:rsidRPr="001A0624" w:rsidRDefault="001A0624" w:rsidP="001A06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______________________________________</w:t>
            </w:r>
            <w:r w:rsidR="008C6BB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</w:t>
            </w:r>
            <w:r w:rsidR="008F147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</w:t>
            </w:r>
          </w:p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(назва державного органу</w:t>
            </w:r>
            <w:r w:rsidR="00E034FA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/</w:t>
            </w:r>
            <w:r w:rsidR="00E034FA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="008F147B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територіального органу /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бюджетної установи)</w:t>
            </w: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ДІЯЛЬНОСТІ З ВНУТРІШНЬОГО АУДИТУ</w:t>
            </w: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A0624" w:rsidRPr="001A0624" w:rsidRDefault="001A0624" w:rsidP="001A06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1A0624" w:rsidRPr="001A0624" w:rsidRDefault="001A0624" w:rsidP="001A0624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1A0624" w:rsidRPr="001A0624" w:rsidRDefault="001A0624" w:rsidP="001A062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1A0624" w:rsidRDefault="001A0624" w:rsidP="001A062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686B56" w:rsidRPr="001A0624" w:rsidTr="00150F93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686B56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686B56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686B56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Default="001A0624" w:rsidP="001A0624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686B56" w:rsidRPr="001A0624" w:rsidTr="00150F93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686B56" w:rsidRPr="001A0624" w:rsidTr="00150F93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686B56" w:rsidRPr="0068648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686B56" w:rsidRPr="0068648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686B56" w:rsidRPr="0068648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686B56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 РОКИ (за результатами оцінки ризиків)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4398"/>
        <w:gridCol w:w="631"/>
        <w:gridCol w:w="6350"/>
        <w:gridCol w:w="1202"/>
        <w:gridCol w:w="9"/>
        <w:gridCol w:w="1278"/>
        <w:gridCol w:w="1218"/>
      </w:tblGrid>
      <w:tr w:rsidR="001A0624" w:rsidRPr="001A0624" w:rsidTr="00A000EC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2023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1A0624" w:rsidRPr="001A0624" w:rsidTr="00A000EC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1A0624" w:rsidRPr="00DB1F27" w:rsidTr="00DB1F27">
        <w:trPr>
          <w:trHeight w:val="109"/>
        </w:trPr>
        <w:tc>
          <w:tcPr>
            <w:tcW w:w="194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8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gridSpan w:val="2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1A0624" w:rsidRPr="002F2DBE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39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4"/>
        <w:gridCol w:w="3562"/>
        <w:gridCol w:w="4171"/>
        <w:gridCol w:w="2796"/>
        <w:gridCol w:w="1581"/>
        <w:gridCol w:w="1733"/>
        <w:gridCol w:w="15"/>
      </w:tblGrid>
      <w:tr w:rsidR="001A0624" w:rsidRPr="001A0624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23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432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1A0624" w:rsidRPr="00DB1F27" w:rsidTr="000B297D">
        <w:trPr>
          <w:gridAfter w:val="1"/>
          <w:wAfter w:w="4" w:type="pct"/>
        </w:trPr>
        <w:tc>
          <w:tcPr>
            <w:tcW w:w="242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2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2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4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95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CF4D50" w:rsidRPr="00CF4D50" w:rsidTr="000B297D">
        <w:tc>
          <w:tcPr>
            <w:tcW w:w="5000" w:type="pct"/>
            <w:gridSpan w:val="7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CF4D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2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2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c>
          <w:tcPr>
            <w:tcW w:w="5000" w:type="pct"/>
            <w:gridSpan w:val="7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2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2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2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F4D50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CF4D50" w:rsidRPr="00CF4D50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CF4D50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CF4D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39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4"/>
        <w:gridCol w:w="2866"/>
        <w:gridCol w:w="1800"/>
        <w:gridCol w:w="2866"/>
        <w:gridCol w:w="2863"/>
        <w:gridCol w:w="1648"/>
        <w:gridCol w:w="1806"/>
        <w:gridCol w:w="9"/>
      </w:tblGrid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83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84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83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66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20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F4D50" w:rsidRPr="00CF4D50" w:rsidTr="000B297D">
        <w:tc>
          <w:tcPr>
            <w:tcW w:w="5000" w:type="pct"/>
            <w:gridSpan w:val="8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4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4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84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c>
          <w:tcPr>
            <w:tcW w:w="5000" w:type="pct"/>
            <w:gridSpan w:val="8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4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4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0B297D">
        <w:trPr>
          <w:gridAfter w:val="1"/>
          <w:wAfter w:w="4" w:type="pct"/>
        </w:trPr>
        <w:tc>
          <w:tcPr>
            <w:tcW w:w="242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84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pct"/>
            <w:tcBorders>
              <w:righ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left w:val="single" w:sz="4" w:space="0" w:color="auto"/>
            </w:tcBorders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auto"/>
          </w:tcPr>
          <w:p w:rsidR="000B297D" w:rsidRPr="00CF4D50" w:rsidRDefault="000B297D" w:rsidP="000B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F4D50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CF4D50" w:rsidRPr="00CF4D50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CF4D50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CF4D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44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3"/>
        <w:gridCol w:w="1776"/>
        <w:gridCol w:w="2991"/>
        <w:gridCol w:w="2846"/>
        <w:gridCol w:w="2837"/>
        <w:gridCol w:w="1618"/>
        <w:gridCol w:w="1781"/>
        <w:gridCol w:w="26"/>
      </w:tblGrid>
      <w:tr w:rsidR="00CF4D50" w:rsidRPr="00CF4D50" w:rsidTr="00D96011">
        <w:trPr>
          <w:gridAfter w:val="1"/>
          <w:wAfter w:w="9" w:type="pct"/>
          <w:trHeight w:val="1623"/>
        </w:trPr>
        <w:tc>
          <w:tcPr>
            <w:tcW w:w="241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3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55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611" w:type="pct"/>
            <w:shd w:val="clear" w:color="auto" w:fill="E7E6E6" w:themeFill="background2"/>
          </w:tcPr>
          <w:p w:rsidR="001A0624" w:rsidRPr="00CF4D50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F4D50" w:rsidRPr="00CF4D50" w:rsidTr="00D96011">
        <w:tc>
          <w:tcPr>
            <w:tcW w:w="5000" w:type="pct"/>
            <w:gridSpan w:val="8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дослідження (оцінка з надання впевненості)</w:t>
            </w: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09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D96011">
        <w:tc>
          <w:tcPr>
            <w:tcW w:w="5000" w:type="pct"/>
            <w:gridSpan w:val="8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Аудиторські консультування</w:t>
            </w: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D96011">
        <w:trPr>
          <w:gridAfter w:val="1"/>
          <w:wAfter w:w="9" w:type="pct"/>
        </w:trPr>
        <w:tc>
          <w:tcPr>
            <w:tcW w:w="24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09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pct"/>
            <w:tcBorders>
              <w:righ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pct"/>
            <w:tcBorders>
              <w:left w:val="single" w:sz="4" w:space="0" w:color="auto"/>
            </w:tcBorders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shd w:val="clear" w:color="auto" w:fill="auto"/>
          </w:tcPr>
          <w:p w:rsidR="00D96011" w:rsidRPr="00CF4D50" w:rsidRDefault="00D96011" w:rsidP="00D96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F4D50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CF4D50" w:rsidRPr="00CF4D50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CF4D50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CF4D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CF4D50" w:rsidRPr="00CF4D50" w:rsidTr="00150F93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CF4D50" w:rsidRPr="00CF4D50" w:rsidTr="00150F93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DBE" w:rsidRPr="00CF4D50" w:rsidRDefault="002F2DBE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F2DBE" w:rsidRPr="00CF4D50" w:rsidRDefault="002F2DBE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F2DBE" w:rsidRPr="00CF4D50" w:rsidRDefault="002F2DBE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CF4D50" w:rsidRPr="00CF4D50" w:rsidTr="00150F93">
        <w:tc>
          <w:tcPr>
            <w:tcW w:w="191" w:type="pct"/>
            <w:shd w:val="clear" w:color="auto" w:fill="E7E6E6" w:themeFill="background2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CF4D50" w:rsidRPr="00CF4D50" w:rsidTr="00150F93">
        <w:tc>
          <w:tcPr>
            <w:tcW w:w="5000" w:type="pct"/>
            <w:gridSpan w:val="5"/>
            <w:shd w:val="clear" w:color="auto" w:fill="auto"/>
          </w:tcPr>
          <w:p w:rsidR="002F2DBE" w:rsidRPr="00CF4D50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2F2DBE" w:rsidRPr="00CF4D50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2F2DBE" w:rsidRPr="00CF4D50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2F2DBE" w:rsidRPr="00CF4D50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D50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2DBE" w:rsidRPr="00CF4D50" w:rsidTr="00150F93">
        <w:tc>
          <w:tcPr>
            <w:tcW w:w="191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CF4D50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CF4D50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2DBE" w:rsidRPr="00CF4D50" w:rsidRDefault="002F2DBE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F4D50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CF4D50" w:rsidRPr="00CF4D50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CF4D50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CF4D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CF4D50" w:rsidRPr="00CF4D50" w:rsidTr="00D52ED3">
        <w:tc>
          <w:tcPr>
            <w:tcW w:w="562" w:type="dxa"/>
            <w:vMerge w:val="restart"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CF4D5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A67A95" w:rsidRPr="00CF4D50" w:rsidRDefault="00A67A95" w:rsidP="00D52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CF4D5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A67A95" w:rsidRPr="00CF4D50" w:rsidRDefault="00A67A95" w:rsidP="00D52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CF4D5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CF4D50" w:rsidRPr="00CF4D50" w:rsidTr="00D52ED3">
        <w:tc>
          <w:tcPr>
            <w:tcW w:w="562" w:type="dxa"/>
            <w:vMerge/>
          </w:tcPr>
          <w:p w:rsidR="00A67A95" w:rsidRPr="00CF4D50" w:rsidRDefault="00A67A95" w:rsidP="00A67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67A95" w:rsidRPr="00CF4D50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7A95" w:rsidRPr="00CF4D50" w:rsidRDefault="00A67A95" w:rsidP="00D5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A67A95" w:rsidRPr="00CF4D50" w:rsidRDefault="00A67A95" w:rsidP="00D5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A67A95" w:rsidRPr="00CF4D50" w:rsidRDefault="00A67A95" w:rsidP="00A67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F4D50" w:rsidRPr="00CF4D50" w:rsidTr="00D52ED3">
        <w:tc>
          <w:tcPr>
            <w:tcW w:w="562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A67A95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CF4D50" w:rsidRPr="00CF4D50" w:rsidTr="00D52ED3">
        <w:tc>
          <w:tcPr>
            <w:tcW w:w="56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350C" w:rsidRPr="00CF4D50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CF4D50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CF4D50" w:rsidRPr="00CF4D50" w:rsidTr="00D52ED3">
        <w:tc>
          <w:tcPr>
            <w:tcW w:w="56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350C" w:rsidRPr="00CF4D50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CF4D50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CF4D50" w:rsidRPr="00CF4D50" w:rsidTr="00D52ED3">
        <w:tc>
          <w:tcPr>
            <w:tcW w:w="56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350C" w:rsidRPr="00CF4D50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CF4D50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к. 5 – к. 7</w:t>
            </w:r>
          </w:p>
        </w:tc>
      </w:tr>
      <w:tr w:rsidR="006D350C" w:rsidRPr="00CF4D50" w:rsidTr="00D52ED3">
        <w:tc>
          <w:tcPr>
            <w:tcW w:w="3964" w:type="dxa"/>
            <w:gridSpan w:val="2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D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CF4D50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CF4D50" w:rsidRDefault="001A0624" w:rsidP="001A0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4FA" w:rsidRPr="00CF4D50" w:rsidRDefault="00E034FA" w:rsidP="001A0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47B" w:rsidRPr="00CF4D50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4D50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</w:t>
      </w:r>
      <w:r w:rsidRPr="00CF4D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CF4D50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Pr="00CF4D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CF4D50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8F147B" w:rsidRPr="00CF4D50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                                          </w:t>
      </w:r>
      <w:r w:rsidR="008D1B82" w:rsidRPr="00CF4D50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</w:t>
      </w: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(підпис)                                         </w:t>
      </w:r>
      <w:r w:rsidR="008D1B82" w:rsidRPr="00CF4D50">
        <w:rPr>
          <w:rFonts w:ascii="Times New Roman" w:eastAsia="Times New Roman" w:hAnsi="Times New Roman" w:cs="Times New Roman"/>
          <w:i/>
          <w:sz w:val="22"/>
          <w:szCs w:val="22"/>
        </w:rPr>
        <w:t xml:space="preserve">    </w:t>
      </w: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                            (ініціали, прізвище)</w:t>
      </w:r>
    </w:p>
    <w:p w:rsidR="008F147B" w:rsidRPr="00CF4D50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 державного органу /</w:t>
      </w:r>
    </w:p>
    <w:p w:rsidR="008F147B" w:rsidRPr="00CF4D50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>територіального органу /</w:t>
      </w:r>
    </w:p>
    <w:p w:rsidR="008F147B" w:rsidRPr="00CF4D50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>бюджетної установи)</w:t>
      </w:r>
    </w:p>
    <w:p w:rsidR="001A0624" w:rsidRPr="00CF4D50" w:rsidRDefault="00E034FA" w:rsidP="001A06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F4D50">
        <w:rPr>
          <w:rFonts w:ascii="Times New Roman" w:eastAsia="Times New Roman" w:hAnsi="Times New Roman" w:cs="Times New Roman"/>
          <w:bCs/>
          <w:i/>
          <w:sz w:val="28"/>
          <w:szCs w:val="28"/>
        </w:rPr>
        <w:t>________________</w:t>
      </w:r>
    </w:p>
    <w:p w:rsidR="001A0624" w:rsidRPr="00CF4D50" w:rsidRDefault="001A0624" w:rsidP="001A06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4D50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CF4D50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плану)</w:t>
      </w:r>
      <w:bookmarkEnd w:id="0"/>
    </w:p>
    <w:sectPr w:rsidR="001A0624" w:rsidRPr="00CF4D50" w:rsidSect="008C6BB0">
      <w:headerReference w:type="default" r:id="rId8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E73" w:rsidRDefault="00CA0E73" w:rsidP="001A0624">
      <w:pPr>
        <w:spacing w:after="0" w:line="240" w:lineRule="auto"/>
      </w:pPr>
      <w:r>
        <w:separator/>
      </w:r>
    </w:p>
  </w:endnote>
  <w:endnote w:type="continuationSeparator" w:id="0">
    <w:p w:rsidR="00CA0E73" w:rsidRDefault="00CA0E73" w:rsidP="001A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E73" w:rsidRDefault="00CA0E73" w:rsidP="001A0624">
      <w:pPr>
        <w:spacing w:after="0" w:line="240" w:lineRule="auto"/>
      </w:pPr>
      <w:r>
        <w:separator/>
      </w:r>
    </w:p>
  </w:footnote>
  <w:footnote w:type="continuationSeparator" w:id="0">
    <w:p w:rsidR="00CA0E73" w:rsidRDefault="00CA0E73" w:rsidP="001A0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0281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C6BB0" w:rsidRPr="008C6BB0" w:rsidRDefault="008C6BB0" w:rsidP="008C6BB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C6BB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6BB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6BB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4D50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8C6BB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24"/>
    <w:rsid w:val="00071FBB"/>
    <w:rsid w:val="000B297D"/>
    <w:rsid w:val="000E18CD"/>
    <w:rsid w:val="00145951"/>
    <w:rsid w:val="001A0624"/>
    <w:rsid w:val="002B2A5E"/>
    <w:rsid w:val="002F2DBE"/>
    <w:rsid w:val="0032186D"/>
    <w:rsid w:val="003B3254"/>
    <w:rsid w:val="003F1402"/>
    <w:rsid w:val="00452101"/>
    <w:rsid w:val="00686B56"/>
    <w:rsid w:val="006D350C"/>
    <w:rsid w:val="007B5D39"/>
    <w:rsid w:val="008C33BB"/>
    <w:rsid w:val="008C6BB0"/>
    <w:rsid w:val="008D1B82"/>
    <w:rsid w:val="008F147B"/>
    <w:rsid w:val="00A67A95"/>
    <w:rsid w:val="00B35CEF"/>
    <w:rsid w:val="00B67C06"/>
    <w:rsid w:val="00BC2A68"/>
    <w:rsid w:val="00CA0E73"/>
    <w:rsid w:val="00CC0E53"/>
    <w:rsid w:val="00CF4D50"/>
    <w:rsid w:val="00D52ED3"/>
    <w:rsid w:val="00D96011"/>
    <w:rsid w:val="00DB1F27"/>
    <w:rsid w:val="00E034FA"/>
    <w:rsid w:val="00E6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A77FB-328E-4B6E-88CC-CFD68076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24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1A0624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1A06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06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0624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1A06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A06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A0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A0624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A0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A0624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1A062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1A0624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1A0624"/>
    <w:pPr>
      <w:outlineLvl w:val="9"/>
    </w:pPr>
  </w:style>
  <w:style w:type="paragraph" w:styleId="ab">
    <w:name w:val="List Paragraph"/>
    <w:basedOn w:val="a"/>
    <w:uiPriority w:val="34"/>
    <w:qFormat/>
    <w:rsid w:val="001A0624"/>
    <w:pPr>
      <w:ind w:left="720"/>
      <w:contextualSpacing/>
    </w:pPr>
  </w:style>
  <w:style w:type="paragraph" w:customStyle="1" w:styleId="ParagraphStyle">
    <w:name w:val="Paragraph Style"/>
    <w:rsid w:val="001A0624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1A0624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1A0624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1A0624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1A0624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1A0624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1A0624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1A0624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1A0624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1A0624"/>
    <w:rPr>
      <w:vertAlign w:val="superscript"/>
    </w:rPr>
  </w:style>
  <w:style w:type="paragraph" w:customStyle="1" w:styleId="Default">
    <w:name w:val="Default"/>
    <w:rsid w:val="001A0624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1A0624"/>
    <w:rPr>
      <w:b/>
      <w:bCs/>
    </w:rPr>
  </w:style>
  <w:style w:type="table" w:customStyle="1" w:styleId="31">
    <w:name w:val="Сітка таблиці3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1A0624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1A0624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1A0624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1A0624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1A0624"/>
    <w:rPr>
      <w:color w:val="808080"/>
    </w:rPr>
  </w:style>
  <w:style w:type="table" w:customStyle="1" w:styleId="4">
    <w:name w:val="Сітка таблиці4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1A062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1A0624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1A0624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1A06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1A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1A0624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1A0624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1A0624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1A0624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1A0624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1A062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1A0624"/>
  </w:style>
  <w:style w:type="table" w:customStyle="1" w:styleId="120">
    <w:name w:val="Сітка таблиці12"/>
    <w:basedOn w:val="a1"/>
    <w:next w:val="a7"/>
    <w:uiPriority w:val="39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A0624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E8C4A-8280-4D14-9625-FB342846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3416</Words>
  <Characters>1948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Груда Наталія Леонідівна</cp:lastModifiedBy>
  <cp:revision>19</cp:revision>
  <dcterms:created xsi:type="dcterms:W3CDTF">2024-09-30T10:46:00Z</dcterms:created>
  <dcterms:modified xsi:type="dcterms:W3CDTF">2025-09-24T07:28:00Z</dcterms:modified>
</cp:coreProperties>
</file>